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8" w:rsidRDefault="00B46428" w:rsidP="00B46428">
      <w:pPr>
        <w:tabs>
          <w:tab w:val="left" w:pos="4444"/>
        </w:tabs>
        <w:ind w:left="-284" w:right="707"/>
      </w:pPr>
    </w:p>
    <w:p w:rsidR="00B46428" w:rsidRDefault="00B46428" w:rsidP="00B46428">
      <w:pPr>
        <w:tabs>
          <w:tab w:val="left" w:pos="4444"/>
        </w:tabs>
      </w:pPr>
    </w:p>
    <w:p w:rsidR="00B324B0" w:rsidRDefault="00B324B0" w:rsidP="00B46428">
      <w:pPr>
        <w:tabs>
          <w:tab w:val="left" w:pos="4444"/>
        </w:tabs>
      </w:pPr>
    </w:p>
    <w:p w:rsidR="00B324B0" w:rsidRPr="004A5A7D" w:rsidRDefault="00B324B0" w:rsidP="00B324B0">
      <w:pPr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Žiadosť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o dodávku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elektriny</w:t>
      </w:r>
      <w:proofErr w:type="spellEnd"/>
    </w:p>
    <w:p w:rsidR="00B324B0" w:rsidRDefault="00B324B0" w:rsidP="00B46428">
      <w:pPr>
        <w:tabs>
          <w:tab w:val="left" w:pos="4444"/>
        </w:tabs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Odberateľ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*: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Titul,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meno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 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priezvisko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Ulica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Súpisné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/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orientačné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číslo: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PSČ: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Obec: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Dátum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narodenia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E – mailový kontakt: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Telefonický kontakt: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Korešpondenčná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adresa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ak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je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iná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ako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vyššie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uvedená adresa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bydliska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):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Ulica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Súpi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sné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/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orientačné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číslo: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PSČ: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Obec: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Vážený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Dodávateľ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týmto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Vám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predkladám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záväzný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návrh na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uzatvorenie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Zmluvy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o 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združenej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dodávke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elektriny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ďalej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len „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Zmluva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“) do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odberného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miesta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špecifikovaného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nižšie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a to ku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dňu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_______________*, 24.00 hod.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Odberateľ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má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uzatvorenú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zmluvu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 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pripojení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 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príslušným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prevádzkovateľom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distribučnej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sústavy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vymedzenom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území (PDS) č. ____________________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zo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dňa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__________________.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tbl>
      <w:tblPr>
        <w:tblStyle w:val="Mriekatabuky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874"/>
        <w:gridCol w:w="1926"/>
        <w:gridCol w:w="1926"/>
      </w:tblGrid>
      <w:tr w:rsidR="006D5098" w:rsidRPr="006D5098" w:rsidTr="00664483">
        <w:trPr>
          <w:trHeight w:val="284"/>
        </w:trPr>
        <w:tc>
          <w:tcPr>
            <w:tcW w:w="2693" w:type="dxa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Odberné miesto: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Odberné miesto č.1</w:t>
            </w:r>
          </w:p>
        </w:tc>
        <w:tc>
          <w:tcPr>
            <w:tcW w:w="2068" w:type="dxa"/>
            <w:tcBorders>
              <w:bottom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Odberné miesto č.2</w:t>
            </w:r>
          </w:p>
        </w:tc>
        <w:tc>
          <w:tcPr>
            <w:tcW w:w="2068" w:type="dxa"/>
            <w:tcBorders>
              <w:bottom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Odberné miesto č.3</w:t>
            </w: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Ulica: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Obec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Číslo: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PSČ: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EIC kód:**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Počet fáz / veľkosť hl. ističa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6D5098" w:rsidRPr="006D5098" w:rsidTr="00664483">
        <w:trPr>
          <w:trHeight w:val="284"/>
        </w:trPr>
        <w:tc>
          <w:tcPr>
            <w:tcW w:w="2693" w:type="dxa"/>
            <w:tcBorders>
              <w:right w:val="single" w:sz="4" w:space="0" w:color="808080"/>
            </w:tcBorders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6D509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Sadzba dodávky***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D5098" w:rsidRPr="006D5098" w:rsidRDefault="006D5098" w:rsidP="006D5098">
            <w:pPr>
              <w:spacing w:after="0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3E72DE" w:rsidRPr="00624606" w:rsidRDefault="003E72DE" w:rsidP="003E72DE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Platobné</w:t>
      </w:r>
      <w:proofErr w:type="spellEnd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b/>
          <w:color w:val="3B3838" w:themeColor="background2" w:themeShade="40"/>
          <w:sz w:val="20"/>
          <w:szCs w:val="20"/>
        </w:rPr>
        <w:t>podmienky</w:t>
      </w:r>
      <w:proofErr w:type="spellEnd"/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7824" wp14:editId="2F63E993">
                <wp:simplePos x="0" y="0"/>
                <wp:positionH relativeFrom="column">
                  <wp:posOffset>3484576</wp:posOffset>
                </wp:positionH>
                <wp:positionV relativeFrom="paragraph">
                  <wp:posOffset>28575</wp:posOffset>
                </wp:positionV>
                <wp:extent cx="100965" cy="90805"/>
                <wp:effectExtent l="0" t="0" r="13335" b="234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D65D" id="Rectangle 10" o:spid="_x0000_s1026" style="position:absolute;margin-left:274.4pt;margin-top:2.25pt;width:7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ICMw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" strokecolor="#7f7f7f [1612]"/>
            </w:pict>
          </mc:Fallback>
        </mc:AlternateContent>
      </w:r>
      <w:r w:rsidRPr="006D5098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86D8" wp14:editId="73B5C928">
                <wp:simplePos x="0" y="0"/>
                <wp:positionH relativeFrom="column">
                  <wp:posOffset>2427909</wp:posOffset>
                </wp:positionH>
                <wp:positionV relativeFrom="paragraph">
                  <wp:posOffset>29845</wp:posOffset>
                </wp:positionV>
                <wp:extent cx="100965" cy="90805"/>
                <wp:effectExtent l="0" t="0" r="13335" b="234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F1E0" id="Rectangle 10" o:spid="_x0000_s1026" style="position:absolute;margin-left:191.15pt;margin-top:2.35pt;width:7.9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6pMg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" strokecolor="#7f7f7f [1612]"/>
            </w:pict>
          </mc:Fallback>
        </mc:AlternateConten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Cyklus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preddavkových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platieb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***: 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mesačne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          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ročne</w:t>
      </w:r>
      <w:proofErr w:type="spellEnd"/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Predpokladaná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ročná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spotreba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: 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 kWh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Navrhovaná suma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preddavkovej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platby: 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 EUR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308AE" wp14:editId="49A0CC82">
                <wp:simplePos x="0" y="0"/>
                <wp:positionH relativeFrom="column">
                  <wp:posOffset>1891030</wp:posOffset>
                </wp:positionH>
                <wp:positionV relativeFrom="paragraph">
                  <wp:posOffset>15240</wp:posOffset>
                </wp:positionV>
                <wp:extent cx="100965" cy="90805"/>
                <wp:effectExtent l="0" t="0" r="13335" b="2349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0A9F" id="Rectangle 10" o:spid="_x0000_s1026" style="position:absolute;margin-left:148.9pt;margin-top:1.2pt;width:7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FeMg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" strokecolor="#7f7f7f [1612]"/>
            </w:pict>
          </mc:Fallback>
        </mc:AlternateConten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Spôsob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úhrady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faktúr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    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SEPA Inkaso*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***  _______________________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__________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IBAN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BIC (SWIFT)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27423" wp14:editId="7CBE458B">
                <wp:simplePos x="0" y="0"/>
                <wp:positionH relativeFrom="column">
                  <wp:posOffset>1891030</wp:posOffset>
                </wp:positionH>
                <wp:positionV relativeFrom="paragraph">
                  <wp:posOffset>131445</wp:posOffset>
                </wp:positionV>
                <wp:extent cx="100965" cy="90805"/>
                <wp:effectExtent l="0" t="0" r="13335" b="234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E37" id="Rectangle 10" o:spid="_x0000_s1026" style="position:absolute;margin-left:148.9pt;margin-top:10.35pt;width:7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" strokecolor="#7f7f7f [1612]"/>
            </w:pict>
          </mc:Fallback>
        </mc:AlternateConten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Prevod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z účtu       _______________________    ________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___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___    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IBAN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BIC (SWIFT)</w:t>
      </w: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Pr="006D5098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V _______________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dňa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</w:t>
      </w:r>
      <w:r w:rsidR="008306AB">
        <w:rPr>
          <w:rFonts w:ascii="Arial" w:hAnsi="Arial" w:cs="Arial"/>
          <w:color w:val="3B3838" w:themeColor="background2" w:themeShade="40"/>
          <w:sz w:val="20"/>
          <w:szCs w:val="20"/>
        </w:rPr>
        <w:t>______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_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_______________________</w:t>
      </w:r>
      <w:r w:rsidR="00B324B0">
        <w:rPr>
          <w:rFonts w:ascii="Arial" w:hAnsi="Arial" w:cs="Arial"/>
          <w:color w:val="3B3838" w:themeColor="background2" w:themeShade="40"/>
          <w:sz w:val="20"/>
          <w:szCs w:val="20"/>
        </w:rPr>
        <w:br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="00B324B0"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   </w:t>
      </w:r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podpis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</w:p>
    <w:p w:rsid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Pr="006D5098" w:rsidRDefault="006D5098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Žiadateľ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svojím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podpisom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potvrdzuje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že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všetky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údaje,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ktoré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uviedol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v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tejto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žiadosti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sú úplné 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správne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 je si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vedomý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že v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celom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rozsahu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zodpovedá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spoločnosti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Slovenské elektrárne – energetické služby, s.r.o. za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prípadnú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škodu,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ktorá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jej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môže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v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dôsledku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uvedenia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neúplných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alebo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nesprávnych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údajov</w:t>
      </w:r>
      <w:proofErr w:type="spellEnd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6D5098">
        <w:rPr>
          <w:rFonts w:ascii="Arial" w:hAnsi="Arial" w:cs="Arial"/>
          <w:color w:val="3B3838" w:themeColor="background2" w:themeShade="40"/>
          <w:sz w:val="20"/>
          <w:szCs w:val="20"/>
        </w:rPr>
        <w:t>vzniknúť</w:t>
      </w:r>
      <w:proofErr w:type="spellEnd"/>
    </w:p>
    <w:p w:rsidR="003E72DE" w:rsidRDefault="003E72DE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B324B0" w:rsidRPr="00624606" w:rsidRDefault="00B324B0" w:rsidP="006D5098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6D5098" w:rsidRDefault="006D5098" w:rsidP="006D5098">
      <w:pPr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</w:rPr>
        <w:t>______________________________________</w:t>
      </w:r>
    </w:p>
    <w:p w:rsidR="006D5098" w:rsidRPr="00DC5473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pre Vás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dôležitý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konkrétny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dátum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údaj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nevypĺňajte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Začiatok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dodávky bude realizovaný 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najbližšiemu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možnému termínu. Na to, aby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mohol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 dodávkou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potrebné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splniť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technické a obchodné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podmienky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pripojenia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PDS. Dodávku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však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možné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ako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dôjde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 montáži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meradla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strany PDS</w:t>
      </w:r>
    </w:p>
    <w:p w:rsidR="006D5098" w:rsidRPr="00DC5473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informáciu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EIC kód-e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odberného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miesta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Vám poskytne Váš PDS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alebo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ho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nájdete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zmluve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pripojení</w:t>
      </w:r>
      <w:proofErr w:type="spellEnd"/>
    </w:p>
    <w:p w:rsidR="006D5098" w:rsidRPr="00DC5473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si 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dohodne pre každé svoje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miesto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druh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;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zmeniť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možné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najskôr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po uplynutí 12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mesiacov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od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určenia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alebo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od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poslednej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prípade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odberových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pomerov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môže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prostredníctvom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požiadať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aj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;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posudzuje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povoľuje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PDS; </w:t>
      </w:r>
      <w:proofErr w:type="gram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za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proofErr w:type="gram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odberových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pomerov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nepovažuje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sezónne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využívanie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spotrebičov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Vysvetlivky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určeniu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požadovanej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dodávky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sú uvedené na konci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tohto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formulára</w:t>
      </w:r>
      <w:proofErr w:type="spellEnd"/>
    </w:p>
    <w:p w:rsidR="006D5098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  <w:t xml:space="preserve">na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zriadenie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SEPA inkasa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potrebné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</w:t>
      </w:r>
      <w:proofErr w:type="gram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aby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vyplnili</w:t>
      </w:r>
      <w:proofErr w:type="gram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Mandát pre inkaso SEPA,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ktorý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dostupný na https://energetickesluzby.sk/dokumenty-na-stiahnutie</w:t>
      </w:r>
    </w:p>
    <w:p w:rsidR="006D5098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</w:p>
    <w:p w:rsidR="00B324B0" w:rsidRDefault="00B324B0">
      <w:pPr>
        <w:spacing w:after="0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br w:type="page"/>
      </w:r>
    </w:p>
    <w:p w:rsidR="006D5098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</w:p>
    <w:p w:rsidR="006D5098" w:rsidRPr="00580590" w:rsidRDefault="006D5098" w:rsidP="006D5098">
      <w:pPr>
        <w:ind w:hanging="28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proofErr w:type="spellStart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>Vysvetlivky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k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>vyplneniu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>žiadosti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o dodávku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>elektriny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– nový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  <w:sz w:val="24"/>
          <w:szCs w:val="24"/>
        </w:rPr>
        <w:t>odber</w:t>
      </w:r>
      <w:proofErr w:type="spellEnd"/>
    </w:p>
    <w:p w:rsidR="006D5098" w:rsidRPr="00DC5473" w:rsidRDefault="006D5098" w:rsidP="006D5098">
      <w:pPr>
        <w:spacing w:after="200" w:line="276" w:lineRule="auto"/>
        <w:ind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Vážený zákazník,</w:t>
      </w:r>
    </w:p>
    <w:p w:rsidR="006D5098" w:rsidRPr="00DC5473" w:rsidRDefault="006D5098" w:rsidP="0057709E">
      <w:pPr>
        <w:spacing w:line="276" w:lineRule="auto"/>
        <w:ind w:left="-284" w:firstLine="1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tento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formulár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prosím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použite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ak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žiadate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o 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uzavretie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novej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zmluvy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o 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združenej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dodávke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elektriny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za </w:t>
      </w:r>
      <w:proofErr w:type="spellStart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účelom</w:t>
      </w:r>
      <w:proofErr w:type="spellEnd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:</w:t>
      </w:r>
    </w:p>
    <w:p w:rsidR="006D5098" w:rsidRPr="00DC5473" w:rsidRDefault="006D5098" w:rsidP="006D5098">
      <w:pPr>
        <w:numPr>
          <w:ilvl w:val="0"/>
          <w:numId w:val="3"/>
        </w:numPr>
        <w:spacing w:after="200" w:line="276" w:lineRule="auto"/>
        <w:ind w:left="0" w:hanging="283"/>
        <w:contextualSpacing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dodávky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elektriny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do nového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odberného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miesta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,</w:t>
      </w:r>
    </w:p>
    <w:p w:rsidR="006D5098" w:rsidRPr="00DC5473" w:rsidRDefault="006D5098" w:rsidP="006D5098">
      <w:pPr>
        <w:numPr>
          <w:ilvl w:val="0"/>
          <w:numId w:val="3"/>
        </w:numPr>
        <w:spacing w:after="0" w:line="276" w:lineRule="auto"/>
        <w:ind w:left="0" w:hanging="283"/>
        <w:contextualSpacing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obnovenia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dodávky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elektriny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na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existujúcom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odbernom</w:t>
      </w:r>
      <w:proofErr w:type="spellEnd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mieste</w:t>
      </w:r>
      <w:proofErr w:type="spellEnd"/>
    </w:p>
    <w:p w:rsidR="006D5098" w:rsidRPr="00DC5473" w:rsidRDefault="006D5098" w:rsidP="006D5098">
      <w:pPr>
        <w:spacing w:line="276" w:lineRule="auto"/>
        <w:ind w:hanging="283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</w:p>
    <w:p w:rsidR="006D5098" w:rsidRPr="00580590" w:rsidRDefault="006D5098" w:rsidP="006D5098">
      <w:pPr>
        <w:ind w:hanging="283"/>
        <w:rPr>
          <w:rFonts w:ascii="Arial" w:eastAsia="Times New Roman" w:hAnsi="Arial" w:cs="Arial"/>
          <w:b/>
          <w:bCs/>
          <w:color w:val="00B050"/>
        </w:rPr>
      </w:pPr>
      <w:r w:rsidRPr="00580590">
        <w:rPr>
          <w:rFonts w:ascii="Arial" w:eastAsia="Times New Roman" w:hAnsi="Arial" w:cs="Arial"/>
          <w:b/>
          <w:bCs/>
          <w:color w:val="00B050"/>
        </w:rPr>
        <w:t>K 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žiadosti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 xml:space="preserve"> je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potrebné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 xml:space="preserve">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priložiť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>:</w:t>
      </w:r>
    </w:p>
    <w:p w:rsidR="006D5098" w:rsidRPr="00DC5473" w:rsidRDefault="006D5098" w:rsidP="006D5098">
      <w:pPr>
        <w:pStyle w:val="Odsekzoznamu"/>
        <w:numPr>
          <w:ilvl w:val="0"/>
          <w:numId w:val="4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originál alebo notársky osvedčenú kópiu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plnomocenstva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, v prípade, ak za Vás uzatvára zmluvu splnomocnenec; notárske osvedčenie podpisu splnomocniteľa sa nevyžaduje; na udelenie plnomocenstva môžete použiť aj formulár plnomocenstva,</w:t>
      </w: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ktorý je dostupný na https://energetickesluzby.sk/dokumenty-na-stiahnutie,</w:t>
      </w:r>
    </w:p>
    <w:p w:rsidR="006D5098" w:rsidRPr="00DC5473" w:rsidRDefault="006D5098" w:rsidP="006D5098">
      <w:pPr>
        <w:pStyle w:val="Odsekzoznamu"/>
        <w:numPr>
          <w:ilvl w:val="0"/>
          <w:numId w:val="4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kópiu zmluvy o pripojení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uzavretú s PDS, </w:t>
      </w:r>
    </w:p>
    <w:p w:rsidR="006D5098" w:rsidRPr="00DC5473" w:rsidRDefault="006D5098" w:rsidP="006D5098">
      <w:pPr>
        <w:pStyle w:val="Odsekzoznamu"/>
        <w:numPr>
          <w:ilvl w:val="0"/>
          <w:numId w:val="4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potvrdenie PDS o prijatí čestného vyhlásenia žiadateľa o pripravenosti odberného miesta na pripojenie odberného elektrického zariadenia do distribučnej sústavy / oznámenie o splnení technických podmienok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</w:t>
      </w:r>
    </w:p>
    <w:p w:rsidR="006D5098" w:rsidRPr="00DC5473" w:rsidRDefault="006D5098" w:rsidP="006D5098">
      <w:pPr>
        <w:pStyle w:val="Odsekzoznamu"/>
        <w:numPr>
          <w:ilvl w:val="0"/>
          <w:numId w:val="4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pokiaľ požadujete tzv. kúrenárske sadzby (DD5, DD6 a DD8), je potrebné doložiť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súhlas PDS s priznaním sadzby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doklady uvedené vo vyjadrení PDS na vymedzenom území k elektrickému vykurovaniu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pokiaľ príslušný PDS takéto potvrdenie vydáva.</w:t>
      </w:r>
    </w:p>
    <w:p w:rsidR="006D5098" w:rsidRPr="00DC5473" w:rsidRDefault="006D5098" w:rsidP="006D5098">
      <w:pPr>
        <w:pStyle w:val="Odsekzoznamu"/>
        <w:numPr>
          <w:ilvl w:val="0"/>
          <w:numId w:val="4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bookmarkStart w:id="0" w:name="_Hlk536539273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výpis z listu vlastníctva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alebo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iný doklad preukazujúci užívacie právo k nehnuteľnosti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do ktorej sa má dodávka elektriny zabezpečovať, napr. súhlas vlastníka nehnuteľnosti s notársky osvedčeným podpisom, nájomnú zmluvu, dohodu spoluvlastníkov o užívaní nehnuteľnosti v podielovom spoluvlastníctve a pod, príp. kópiu návrhu na vklad vlastníckeho práva k nehnuteľnosti, do ktorej sa má dodávka elektriny zabezpečovať s potvrdením jeho prijatia príslušným okresným úradom, katastrálnym odborom,</w:t>
      </w:r>
      <w:bookmarkEnd w:id="0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</w:p>
    <w:p w:rsidR="006D5098" w:rsidRPr="00DC5473" w:rsidRDefault="006D5098" w:rsidP="006D5098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Akékoľvek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doplňujúce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otázky Vám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radi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zodpovieme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na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zákazníckej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linke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0850 555 999.</w:t>
      </w:r>
    </w:p>
    <w:p w:rsidR="006D5098" w:rsidRPr="00681213" w:rsidRDefault="006D5098" w:rsidP="006D5098">
      <w:pPr>
        <w:ind w:hanging="567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:rsidR="006D5098" w:rsidRPr="00681213" w:rsidRDefault="006D5098" w:rsidP="006D5098">
      <w:pPr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>Vysvetlivky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k 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>výberu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>sadzby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dodávky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>elektriny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24"/>
          <w:szCs w:val="24"/>
        </w:rPr>
        <w:t>:</w:t>
      </w:r>
    </w:p>
    <w:p w:rsidR="006D5098" w:rsidRPr="00681213" w:rsidRDefault="006D5098" w:rsidP="006D5098">
      <w:pPr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Pre účely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ocenenia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odberu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odberateľov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 domácnosti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uplatňujú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nasledovné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:</w:t>
      </w:r>
    </w:p>
    <w:p w:rsidR="006D5098" w:rsidRPr="00681213" w:rsidRDefault="006D5098" w:rsidP="006D5098">
      <w:pPr>
        <w:ind w:hanging="360"/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</w:rPr>
      </w:pPr>
    </w:p>
    <w:p w:rsidR="006D5098" w:rsidRPr="00681213" w:rsidRDefault="006D5098" w:rsidP="006D5098">
      <w:pPr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DD1 – D1 (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jednopásmová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s 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nižšou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spotrebou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elektriny</w:t>
      </w:r>
      <w:proofErr w:type="spellEnd"/>
    </w:p>
    <w:p w:rsidR="006D5098" w:rsidRPr="00681213" w:rsidRDefault="006D5098" w:rsidP="006D5098">
      <w:pPr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DD1 je vhodná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najmä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odberné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 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nižšou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spotrebou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napr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chaty, garáže, </w:t>
      </w:r>
      <w:proofErr w:type="spellStart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záhrady</w:t>
      </w:r>
      <w:proofErr w:type="spellEnd"/>
      <w:r w:rsidRPr="0068121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).</w:t>
      </w:r>
    </w:p>
    <w:p w:rsidR="006D5098" w:rsidRPr="00681213" w:rsidRDefault="006D5098" w:rsidP="006D5098">
      <w:pPr>
        <w:jc w:val="both"/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DD1 je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D1,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prípadne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iná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vhodná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distribučná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odberateľov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v domácnosti s charakteristikou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najbližšie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zodpovedajúcou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dodávky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DD1,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pokiaľ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nebude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príslušným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prevádzkovateľom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sústavy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poskytovaná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distribučná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odberateľov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v domácnosti D1.</w:t>
      </w:r>
    </w:p>
    <w:p w:rsidR="006D5098" w:rsidRPr="00681213" w:rsidRDefault="006D5098" w:rsidP="006D5098">
      <w:pPr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</w:p>
    <w:p w:rsidR="006D5098" w:rsidRPr="00681213" w:rsidRDefault="006D5098" w:rsidP="006D5098">
      <w:pPr>
        <w:jc w:val="both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DD2 – D2 (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jednopásmová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s 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vyššou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spotrebou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elektriny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)</w:t>
      </w:r>
    </w:p>
    <w:p w:rsidR="006D5098" w:rsidRPr="00681213" w:rsidRDefault="006D5098" w:rsidP="006D5098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DD2 je vhodná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ktorých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vyššia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napr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. rodinné domy, byty –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bežnými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elektrickými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ktoré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nemajú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elektrické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vykurovanie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ani elektrický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ohrev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vody). </w:t>
      </w:r>
    </w:p>
    <w:p w:rsidR="003E72DE" w:rsidRPr="008306AB" w:rsidRDefault="006D5098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DD2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sadzieb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D1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alebo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D2. Táto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odporúča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distribučnú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D2.</w:t>
      </w:r>
      <w:bookmarkStart w:id="1" w:name="_GoBack"/>
      <w:bookmarkEnd w:id="1"/>
    </w:p>
    <w:p w:rsidR="003E72DE" w:rsidRPr="00BD579C" w:rsidRDefault="003E72DE" w:rsidP="006D5098">
      <w:pPr>
        <w:rPr>
          <w:rFonts w:ascii="Arial" w:hAnsi="Arial" w:cs="Arial"/>
          <w:sz w:val="20"/>
          <w:szCs w:val="20"/>
        </w:rPr>
        <w:sectPr w:rsidR="003E72DE" w:rsidRPr="00BD579C" w:rsidSect="002514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62" w:right="1416" w:bottom="2302" w:left="1418" w:header="578" w:footer="490" w:gutter="0"/>
          <w:cols w:space="720"/>
          <w:titlePg/>
          <w:docGrid w:linePitch="360"/>
        </w:sectPr>
      </w:pPr>
    </w:p>
    <w:p w:rsidR="008306AB" w:rsidRPr="00681213" w:rsidRDefault="008306AB" w:rsidP="008306AB">
      <w:pPr>
        <w:jc w:val="both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lastRenderedPageBreak/>
        <w:t>DD3 – D3 (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s 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nižšou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spotrebou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elektriny</w:t>
      </w:r>
      <w:proofErr w:type="spellEnd"/>
      <w:r w:rsidRPr="00681213">
        <w:rPr>
          <w:rFonts w:ascii="Arial" w:eastAsia="Times New Roman" w:hAnsi="Arial" w:cs="Arial"/>
          <w:b/>
          <w:bCs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DD3 je vhodná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najmä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elektrickými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akumulačnými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nižšou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DD3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meraná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dvoch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tarifách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–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vysokej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tarife (VT) a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nízkej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tarife (NT). </w:t>
      </w:r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Je vhodná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najmä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odberateľov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v domácnosti,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ktorí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používajú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spotrebiče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s 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vyššou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spotrebou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ktoré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môžu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byť v čase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vysokej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tarify (VT) vypnuté, avšak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nemusia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byť v čase VT blokované,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napr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ohrievač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teplej </w:t>
      </w:r>
      <w:proofErr w:type="spellStart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úžitkovej</w:t>
      </w:r>
      <w:proofErr w:type="spellEnd"/>
      <w:r w:rsidRPr="00681213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vody.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DD3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sadzieb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D3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alebo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D4. Táto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odporúča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distribučnú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D3. Doba platnosti NT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osem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fixne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určeným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časom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prevádzky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nízkom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pásme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nepretržitom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trvaní aspoň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tri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hodiny,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blokovanie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nevyžaduje.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00B050"/>
          <w:sz w:val="18"/>
          <w:szCs w:val="18"/>
        </w:rPr>
      </w:pPr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DD4 -D4 (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s 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vyššou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spotrebou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DD4 je vhodná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najmä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elektrickými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akumulačnými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spotrebičmi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vyššou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. Aj v tomto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prípade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DD4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meraná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dvoch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tarifách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–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vysokej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tarife (VT) a 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nízkej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tarife (NT).</w:t>
      </w:r>
    </w:p>
    <w:p w:rsidR="008306AB" w:rsidRDefault="008306AB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DD4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sadzieb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D3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alebo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D4. Táto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odporúča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distribučnú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D4. Doba platnosti NT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osem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blokovaním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akumulačných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čase vysokého pásma.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color w:val="808080" w:themeColor="background1" w:themeShade="80"/>
          <w:sz w:val="18"/>
          <w:szCs w:val="18"/>
        </w:rPr>
      </w:pP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00B050"/>
          <w:sz w:val="18"/>
          <w:szCs w:val="18"/>
        </w:rPr>
      </w:pPr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DD5-D5 (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s elektrickým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priamo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výhrevným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vykurovaním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DD5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D5. Doba platnosti NT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20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blokovaním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priamo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výhrevných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čase VT.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808080" w:themeColor="background1" w:themeShade="80"/>
          <w:sz w:val="18"/>
          <w:szCs w:val="18"/>
        </w:rPr>
      </w:pP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00B050"/>
          <w:sz w:val="18"/>
          <w:szCs w:val="18"/>
        </w:rPr>
      </w:pPr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DD6 – D6 (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s tepelným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čerpadlom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DD6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D6. Doba platnosti NT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20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blokovaním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vykurovanie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čase VT.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808080" w:themeColor="background1" w:themeShade="80"/>
          <w:sz w:val="18"/>
          <w:szCs w:val="18"/>
        </w:rPr>
      </w:pP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00B050"/>
          <w:sz w:val="18"/>
          <w:szCs w:val="18"/>
        </w:rPr>
      </w:pPr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DD7 – D7 (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pre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odberné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s víkendovou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prevádzkou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rFonts w:ascii="Arial" w:eastAsiaTheme="minorHAnsi" w:hAnsi="Arial" w:cs="Arial"/>
          <w:b/>
          <w:color w:val="808080" w:themeColor="background1" w:themeShade="80"/>
          <w:sz w:val="18"/>
          <w:szCs w:val="18"/>
        </w:rPr>
      </w:pP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DD7 je vhodná pre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odberná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miesta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typu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chát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chalúp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podobne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DD7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D7. Doba platnosti NT je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celoročne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od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piatku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15.00 hod. do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pondelka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6.00 hod.,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blokovanie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v čase VT </w:t>
      </w:r>
      <w:proofErr w:type="spellStart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color w:val="808080" w:themeColor="background1" w:themeShade="80"/>
          <w:sz w:val="18"/>
          <w:szCs w:val="18"/>
        </w:rPr>
        <w:t xml:space="preserve"> nevyžaduje.</w:t>
      </w:r>
    </w:p>
    <w:p w:rsidR="008306AB" w:rsidRPr="00681213" w:rsidRDefault="008306AB" w:rsidP="008306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808080" w:themeColor="background1" w:themeShade="80"/>
          <w:sz w:val="18"/>
          <w:szCs w:val="18"/>
        </w:rPr>
      </w:pPr>
    </w:p>
    <w:p w:rsidR="008306AB" w:rsidRPr="00681213" w:rsidRDefault="008306AB" w:rsidP="008306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B050"/>
          <w:sz w:val="18"/>
          <w:szCs w:val="18"/>
        </w:rPr>
      </w:pPr>
      <w:r w:rsidRPr="00681213">
        <w:rPr>
          <w:rFonts w:ascii="Arial" w:eastAsiaTheme="minorHAnsi" w:hAnsi="Arial" w:cs="Arial"/>
          <w:b/>
          <w:bCs/>
          <w:color w:val="00B050"/>
          <w:sz w:val="18"/>
          <w:szCs w:val="18"/>
        </w:rPr>
        <w:t>DD8 – D8 (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dvojpásmová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,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nízke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pásmo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sa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poskytuje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osem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blokovaním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akumulačných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v čase vysokého pásma s určeným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minimálnym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inštalovaným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výkonom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akumulačných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b/>
          <w:color w:val="00B050"/>
          <w:sz w:val="18"/>
          <w:szCs w:val="18"/>
        </w:rPr>
        <w:t>)</w:t>
      </w:r>
    </w:p>
    <w:p w:rsidR="008306AB" w:rsidRPr="00681213" w:rsidRDefault="008306AB" w:rsidP="008306AB">
      <w:pPr>
        <w:jc w:val="both"/>
        <w:rPr>
          <w:b/>
          <w:bCs/>
          <w:color w:val="808080" w:themeColor="background1" w:themeShade="80"/>
        </w:rPr>
      </w:pP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Sadzba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DD8 je vhodná pre domácnosti s elektrickými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akumulačnými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spotrebičmi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s vysokou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spotrebou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Podmienkou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pridelenie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DD8 je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priradenie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distribučnej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D8. Doba platnosti NT je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minimálne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osem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hodín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denne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s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blokovaním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akumulačných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elektrických </w:t>
      </w:r>
      <w:proofErr w:type="spellStart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>spotrebičov</w:t>
      </w:r>
      <w:proofErr w:type="spellEnd"/>
      <w:r w:rsidRPr="00681213">
        <w:rPr>
          <w:rFonts w:ascii="Arial" w:eastAsiaTheme="minorHAnsi" w:hAnsi="Arial" w:cs="Arial"/>
          <w:bCs/>
          <w:color w:val="808080" w:themeColor="background1" w:themeShade="80"/>
          <w:sz w:val="18"/>
          <w:szCs w:val="18"/>
        </w:rPr>
        <w:t xml:space="preserve"> v čase vysokého pásma.</w:t>
      </w:r>
      <w:r w:rsidRPr="00681213">
        <w:rPr>
          <w:b/>
          <w:bCs/>
          <w:color w:val="808080" w:themeColor="background1" w:themeShade="80"/>
        </w:rPr>
        <w:t xml:space="preserve"> </w:t>
      </w:r>
    </w:p>
    <w:p w:rsidR="00BD579C" w:rsidRPr="00BD579C" w:rsidRDefault="00BD579C" w:rsidP="006D509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D579C" w:rsidRPr="00BD579C" w:rsidSect="0025143A">
      <w:headerReference w:type="first" r:id="rId12"/>
      <w:pgSz w:w="11906" w:h="16838" w:code="9"/>
      <w:pgMar w:top="862" w:right="1416" w:bottom="2302" w:left="1418" w:header="578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1C" w:rsidRDefault="0087111C" w:rsidP="00713050">
      <w:pPr>
        <w:spacing w:line="240" w:lineRule="auto"/>
      </w:pPr>
      <w:r>
        <w:separator/>
      </w:r>
    </w:p>
  </w:endnote>
  <w:endnote w:type="continuationSeparator" w:id="0">
    <w:p w:rsidR="0087111C" w:rsidRDefault="0087111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3A" w:rsidRPr="0025143A" w:rsidRDefault="0078406D" w:rsidP="0025143A">
    <w:pPr>
      <w:pStyle w:val="Pta"/>
      <w:ind w:right="-8"/>
      <w:rPr>
        <w:rFonts w:asciiTheme="minorBidi" w:hAnsiTheme="minorBidi"/>
        <w:color w:val="767171" w:themeColor="background2" w:themeShade="80"/>
        <w:w w:val="94"/>
        <w:sz w:val="11"/>
        <w:szCs w:val="11"/>
      </w:rPr>
    </w:pPr>
    <w:r w:rsidRPr="0078406D">
      <w:rPr>
        <w:rFonts w:ascii="Arial" w:eastAsiaTheme="minorEastAsia" w:hAnsi="Arial" w:cs="Arial"/>
        <w:caps w:val="0"/>
        <w:color w:val="767171" w:themeColor="background2" w:themeShade="80"/>
        <w:w w:val="94"/>
        <w:sz w:val="11"/>
        <w:szCs w:val="11"/>
        <w:lang w:eastAsia="zh-CN"/>
      </w:rPr>
      <w:t xml:space="preserve">Slovenské elektrárne - energetické služby, s.r.o. 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Mlynské nivy 47, 821 09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2,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lovenská republika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IČO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 35 829 052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bchodný register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kresného súdu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,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ddiel: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a, číslo: 2904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/B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80" w:rsidRPr="0025143A" w:rsidRDefault="00E1415B" w:rsidP="0025143A">
    <w:pPr>
      <w:pStyle w:val="Pta"/>
      <w:ind w:right="-8"/>
      <w:rPr>
        <w:rFonts w:asciiTheme="minorBidi" w:hAnsiTheme="minorBidi"/>
        <w:color w:val="767171" w:themeColor="background2" w:themeShade="80"/>
        <w:w w:val="94"/>
        <w:sz w:val="11"/>
        <w:szCs w:val="11"/>
      </w:rPr>
    </w:pPr>
    <w:r w:rsidRPr="0078406D">
      <w:rPr>
        <w:rFonts w:ascii="Arial" w:eastAsiaTheme="minorEastAsia" w:hAnsi="Arial" w:cs="Arial"/>
        <w:caps w:val="0"/>
        <w:color w:val="767171" w:themeColor="background2" w:themeShade="80"/>
        <w:w w:val="94"/>
        <w:sz w:val="11"/>
        <w:szCs w:val="11"/>
        <w:lang w:eastAsia="zh-CN"/>
      </w:rPr>
      <w:t xml:space="preserve">Slovenské elektrárne - energetické služby, s.r.o. 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Mlynské nivy 47, 821 09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2,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lovenská republika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IČO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 35 829 052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bchodný register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kresného súdu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,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ddiel: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a, číslo: 2904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1C" w:rsidRDefault="0087111C" w:rsidP="00713050">
      <w:pPr>
        <w:spacing w:line="240" w:lineRule="auto"/>
      </w:pPr>
      <w:r>
        <w:separator/>
      </w:r>
    </w:p>
  </w:footnote>
  <w:footnote w:type="continuationSeparator" w:id="0">
    <w:p w:rsidR="0087111C" w:rsidRDefault="0087111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80" w:rsidRDefault="00B4642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-882625</wp:posOffset>
          </wp:positionH>
          <wp:positionV relativeFrom="paragraph">
            <wp:posOffset>-343657</wp:posOffset>
          </wp:positionV>
          <wp:extent cx="7533449" cy="10653362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bite_pozadi_2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449" cy="1065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5F" w:rsidRDefault="0078406D" w:rsidP="0078406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6AEAA53" wp14:editId="45C8ECAC">
          <wp:simplePos x="0" y="0"/>
          <wp:positionH relativeFrom="column">
            <wp:posOffset>-888736</wp:posOffset>
          </wp:positionH>
          <wp:positionV relativeFrom="paragraph">
            <wp:posOffset>-367030</wp:posOffset>
          </wp:positionV>
          <wp:extent cx="7540948" cy="10676663"/>
          <wp:effectExtent l="0" t="0" r="3175" b="4445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ES_Stationery_HP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8" cy="1067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5F" w:rsidRDefault="00381D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9C" w:rsidRDefault="00BD579C" w:rsidP="0078406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452712A" wp14:editId="69CC0E94">
          <wp:simplePos x="0" y="0"/>
          <wp:positionH relativeFrom="column">
            <wp:posOffset>-888736</wp:posOffset>
          </wp:positionH>
          <wp:positionV relativeFrom="paragraph">
            <wp:posOffset>-370744</wp:posOffset>
          </wp:positionV>
          <wp:extent cx="7540947" cy="10676661"/>
          <wp:effectExtent l="0" t="0" r="3175" b="444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ES_Stationery_HP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7" cy="1067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79C" w:rsidRDefault="00BD57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7DE"/>
    <w:multiLevelType w:val="hybridMultilevel"/>
    <w:tmpl w:val="5A365932"/>
    <w:lvl w:ilvl="0" w:tplc="3866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B05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E98D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E765C"/>
    <w:multiLevelType w:val="hybridMultilevel"/>
    <w:tmpl w:val="EB3AD850"/>
    <w:lvl w:ilvl="0" w:tplc="56743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DDE"/>
    <w:multiLevelType w:val="hybridMultilevel"/>
    <w:tmpl w:val="0D84EF84"/>
    <w:lvl w:ilvl="0" w:tplc="274294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D208F"/>
    <w:multiLevelType w:val="hybridMultilevel"/>
    <w:tmpl w:val="84E8213C"/>
    <w:lvl w:ilvl="0" w:tplc="7FEAD0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8"/>
    <w:rsid w:val="00022E2F"/>
    <w:rsid w:val="000353A6"/>
    <w:rsid w:val="0004037F"/>
    <w:rsid w:val="00053BAD"/>
    <w:rsid w:val="00087F21"/>
    <w:rsid w:val="000B0C2C"/>
    <w:rsid w:val="000F6077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5143A"/>
    <w:rsid w:val="00257E2E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F52DD"/>
    <w:rsid w:val="00313E86"/>
    <w:rsid w:val="00364079"/>
    <w:rsid w:val="00375460"/>
    <w:rsid w:val="00381D5F"/>
    <w:rsid w:val="003A3101"/>
    <w:rsid w:val="003E72DE"/>
    <w:rsid w:val="00405701"/>
    <w:rsid w:val="004077FB"/>
    <w:rsid w:val="00424DD9"/>
    <w:rsid w:val="00430B1B"/>
    <w:rsid w:val="00443F85"/>
    <w:rsid w:val="0044517B"/>
    <w:rsid w:val="004717C5"/>
    <w:rsid w:val="004A282E"/>
    <w:rsid w:val="004D7F4E"/>
    <w:rsid w:val="00502BF8"/>
    <w:rsid w:val="00543DB7"/>
    <w:rsid w:val="005558D4"/>
    <w:rsid w:val="0057709E"/>
    <w:rsid w:val="005807DE"/>
    <w:rsid w:val="005A530F"/>
    <w:rsid w:val="00641630"/>
    <w:rsid w:val="006658C4"/>
    <w:rsid w:val="00684488"/>
    <w:rsid w:val="006A3CE7"/>
    <w:rsid w:val="006B2912"/>
    <w:rsid w:val="006C4C50"/>
    <w:rsid w:val="006D5098"/>
    <w:rsid w:val="006E1DC7"/>
    <w:rsid w:val="00713050"/>
    <w:rsid w:val="00746F7F"/>
    <w:rsid w:val="007623E5"/>
    <w:rsid w:val="0076679E"/>
    <w:rsid w:val="00772257"/>
    <w:rsid w:val="0078406D"/>
    <w:rsid w:val="007978B6"/>
    <w:rsid w:val="007C16C5"/>
    <w:rsid w:val="007C7C1A"/>
    <w:rsid w:val="00811117"/>
    <w:rsid w:val="008306AB"/>
    <w:rsid w:val="008626F2"/>
    <w:rsid w:val="00863891"/>
    <w:rsid w:val="00864D4A"/>
    <w:rsid w:val="0087111C"/>
    <w:rsid w:val="008A1907"/>
    <w:rsid w:val="008C44E9"/>
    <w:rsid w:val="008F24E1"/>
    <w:rsid w:val="009B7445"/>
    <w:rsid w:val="009D6855"/>
    <w:rsid w:val="009F75B3"/>
    <w:rsid w:val="00A42540"/>
    <w:rsid w:val="00A44B4D"/>
    <w:rsid w:val="00A772FA"/>
    <w:rsid w:val="00AD22CE"/>
    <w:rsid w:val="00B324B0"/>
    <w:rsid w:val="00B46428"/>
    <w:rsid w:val="00B516DD"/>
    <w:rsid w:val="00B56E1F"/>
    <w:rsid w:val="00B60A88"/>
    <w:rsid w:val="00B638C3"/>
    <w:rsid w:val="00B66BFE"/>
    <w:rsid w:val="00B9679E"/>
    <w:rsid w:val="00BD579C"/>
    <w:rsid w:val="00BE17FC"/>
    <w:rsid w:val="00C05502"/>
    <w:rsid w:val="00C07965"/>
    <w:rsid w:val="00C2098A"/>
    <w:rsid w:val="00C57D37"/>
    <w:rsid w:val="00C675DE"/>
    <w:rsid w:val="00C7741E"/>
    <w:rsid w:val="00C817DA"/>
    <w:rsid w:val="00CA3DF1"/>
    <w:rsid w:val="00CA4581"/>
    <w:rsid w:val="00CE18D5"/>
    <w:rsid w:val="00D75FA3"/>
    <w:rsid w:val="00D87154"/>
    <w:rsid w:val="00E1415B"/>
    <w:rsid w:val="00E22E87"/>
    <w:rsid w:val="00E96C92"/>
    <w:rsid w:val="00EA6D43"/>
    <w:rsid w:val="00EF011C"/>
    <w:rsid w:val="00F207C0"/>
    <w:rsid w:val="00F20AE5"/>
    <w:rsid w:val="00F25E7A"/>
    <w:rsid w:val="00F30A68"/>
    <w:rsid w:val="00F328B4"/>
    <w:rsid w:val="00F645C7"/>
    <w:rsid w:val="00F766F2"/>
    <w:rsid w:val="00F87ECA"/>
    <w:rsid w:val="00F9000F"/>
    <w:rsid w:val="00FD55E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0CA5"/>
  <w15:chartTrackingRefBased/>
  <w15:docId w15:val="{308DCCD3-05B8-7641-B245-03D981D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43A"/>
    <w:pPr>
      <w:spacing w:after="160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Mriekatabuky">
    <w:name w:val="Table Grid"/>
    <w:basedOn w:val="Normlnatabu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8"/>
    <w:qFormat/>
    <w:rsid w:val="00E22E87"/>
    <w:pPr>
      <w:spacing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Predvolenpsmoodseku"/>
    <w:uiPriority w:val="99"/>
    <w:semiHidden/>
    <w:rsid w:val="00CE18D5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1C62"/>
    <w:pPr>
      <w:spacing w:line="240" w:lineRule="auto"/>
    </w:pPr>
  </w:style>
  <w:style w:type="paragraph" w:customStyle="1" w:styleId="Inicily">
    <w:name w:val="Iniciály"/>
    <w:basedOn w:val="Normlny"/>
    <w:next w:val="Nadpis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lavikaChar">
    <w:name w:val="Hlavička Char"/>
    <w:basedOn w:val="Predvolenpsmoodseku"/>
    <w:link w:val="Hlavika"/>
    <w:uiPriority w:val="99"/>
    <w:rsid w:val="00151C62"/>
  </w:style>
  <w:style w:type="paragraph" w:styleId="Pta">
    <w:name w:val="footer"/>
    <w:basedOn w:val="Normlny"/>
    <w:link w:val="Pta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taChar">
    <w:name w:val="Päta Char"/>
    <w:basedOn w:val="Predvolenpsmoodseku"/>
    <w:link w:val="Pta"/>
    <w:uiPriority w:val="99"/>
    <w:rsid w:val="00151C62"/>
    <w:rPr>
      <w:rFonts w:asciiTheme="majorHAnsi" w:hAnsiTheme="majorHAnsi"/>
      <w:caps/>
    </w:rPr>
  </w:style>
  <w:style w:type="paragraph" w:styleId="Oslovenie">
    <w:name w:val="Salutation"/>
    <w:basedOn w:val="Normlny"/>
    <w:next w:val="Normlny"/>
    <w:link w:val="OslovenieChar"/>
    <w:uiPriority w:val="12"/>
    <w:qFormat/>
    <w:rsid w:val="00AD22CE"/>
  </w:style>
  <w:style w:type="character" w:customStyle="1" w:styleId="OslovenieChar">
    <w:name w:val="Oslovenie Char"/>
    <w:basedOn w:val="Predvolenpsmoodseku"/>
    <w:link w:val="Oslovenie"/>
    <w:uiPriority w:val="12"/>
    <w:rsid w:val="00AD22CE"/>
  </w:style>
  <w:style w:type="paragraph" w:styleId="Zver">
    <w:name w:val="Closing"/>
    <w:basedOn w:val="Normlny"/>
    <w:next w:val="Podpis"/>
    <w:link w:val="ZverChar"/>
    <w:uiPriority w:val="13"/>
    <w:qFormat/>
    <w:rsid w:val="00AD22CE"/>
    <w:pPr>
      <w:spacing w:before="360"/>
      <w:contextualSpacing/>
    </w:pPr>
  </w:style>
  <w:style w:type="character" w:customStyle="1" w:styleId="ZverChar">
    <w:name w:val="Záver Char"/>
    <w:basedOn w:val="Predvolenpsmoodseku"/>
    <w:link w:val="Zver"/>
    <w:uiPriority w:val="13"/>
    <w:rsid w:val="00AD22CE"/>
  </w:style>
  <w:style w:type="paragraph" w:styleId="Podpis">
    <w:name w:val="Signature"/>
    <w:basedOn w:val="Normlny"/>
    <w:next w:val="Normlny"/>
    <w:link w:val="PodpisChar"/>
    <w:uiPriority w:val="14"/>
    <w:qFormat/>
    <w:rsid w:val="00AD22CE"/>
    <w:pPr>
      <w:spacing w:after="200" w:line="240" w:lineRule="auto"/>
    </w:pPr>
  </w:style>
  <w:style w:type="character" w:customStyle="1" w:styleId="PodpisChar">
    <w:name w:val="Podpis Char"/>
    <w:basedOn w:val="Predvolenpsmoodseku"/>
    <w:link w:val="Podpis"/>
    <w:uiPriority w:val="14"/>
    <w:rsid w:val="007623E5"/>
  </w:style>
  <w:style w:type="paragraph" w:styleId="Dtum">
    <w:name w:val="Date"/>
    <w:basedOn w:val="Normlny"/>
    <w:next w:val="Normlny"/>
    <w:link w:val="DtumChar"/>
    <w:uiPriority w:val="11"/>
    <w:qFormat/>
    <w:rsid w:val="00AD22CE"/>
    <w:pPr>
      <w:spacing w:before="780" w:after="200"/>
    </w:pPr>
  </w:style>
  <w:style w:type="character" w:customStyle="1" w:styleId="DtumChar">
    <w:name w:val="Dátum Char"/>
    <w:basedOn w:val="Predvolenpsmoodseku"/>
    <w:link w:val="Dtum"/>
    <w:uiPriority w:val="11"/>
    <w:rsid w:val="00AD22CE"/>
  </w:style>
  <w:style w:type="character" w:customStyle="1" w:styleId="Nadpis8Char">
    <w:name w:val="Nadpis 8 Char"/>
    <w:basedOn w:val="Predvolenpsmoodseku"/>
    <w:link w:val="Nadpis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ov">
    <w:name w:val="Title"/>
    <w:aliases w:val="Popis tabuľky"/>
    <w:basedOn w:val="Normlny"/>
    <w:next w:val="Normlny"/>
    <w:link w:val="NzovChar"/>
    <w:uiPriority w:val="10"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aliases w:val="Popis tabuľky Char"/>
    <w:basedOn w:val="Predvolenpsmoodseku"/>
    <w:link w:val="Nzov"/>
    <w:uiPriority w:val="10"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F9000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B4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Obyajntabuka2">
    <w:name w:val="Plain Table 2"/>
    <w:basedOn w:val="Normlnatabuka"/>
    <w:uiPriority w:val="42"/>
    <w:rsid w:val="00B464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prepojenie">
    <w:name w:val="Hyperlink"/>
    <w:rsid w:val="0078406D"/>
    <w:rPr>
      <w:color w:val="0000FF"/>
      <w:u w:val="single"/>
    </w:rPr>
  </w:style>
  <w:style w:type="character" w:customStyle="1" w:styleId="ra">
    <w:name w:val="ra"/>
    <w:basedOn w:val="Predvolenpsmoodseku"/>
    <w:rsid w:val="0078406D"/>
  </w:style>
  <w:style w:type="paragraph" w:styleId="Odsekzoznamu">
    <w:name w:val="List Paragraph"/>
    <w:basedOn w:val="Normlny"/>
    <w:uiPriority w:val="34"/>
    <w:qFormat/>
    <w:rsid w:val="0025143A"/>
    <w:pPr>
      <w:spacing w:after="200" w:line="276" w:lineRule="auto"/>
      <w:ind w:left="720"/>
      <w:contextualSpacing/>
    </w:pPr>
    <w:rPr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6D5098"/>
    <w:pPr>
      <w:spacing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BC33-3A7D-44E7-8954-40367091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Maruščáková Magdaléna (EXT)</cp:lastModifiedBy>
  <cp:revision>6</cp:revision>
  <dcterms:created xsi:type="dcterms:W3CDTF">2021-05-24T12:10:00Z</dcterms:created>
  <dcterms:modified xsi:type="dcterms:W3CDTF">2021-09-03T09:41:00Z</dcterms:modified>
</cp:coreProperties>
</file>